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5DC" w:rsidRPr="008E65DC" w:rsidRDefault="008E65DC" w:rsidP="008E65D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8E65DC">
        <w:rPr>
          <w:rFonts w:ascii="Roboto" w:hAnsi="Roboto"/>
          <w:color w:val="333333"/>
          <w:sz w:val="26"/>
        </w:rPr>
        <w:t>Социальные налоговые вычеты предоставляются физическим лицам в сумме расходов, фактически произведенных налогоплательщиком в конкретном налоговом периоде.</w:t>
      </w:r>
    </w:p>
    <w:p w:rsidR="008E65DC" w:rsidRPr="008E65DC" w:rsidRDefault="008E65DC" w:rsidP="008E65D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8E65DC">
        <w:rPr>
          <w:rFonts w:ascii="Roboto" w:hAnsi="Roboto"/>
          <w:color w:val="333333"/>
          <w:sz w:val="26"/>
        </w:rPr>
        <w:t>С 1 января 2024 г. вступили в силу изменения, внесенные в статьи 219 и 257 части второй Налогового кодекса Российской Федерации, согласно которым совокупный размер вычетов по НДФЛ, в том числе на медицинские услуги и обучение, увеличен.</w:t>
      </w:r>
    </w:p>
    <w:p w:rsidR="008E65DC" w:rsidRPr="008E65DC" w:rsidRDefault="008E65DC" w:rsidP="008E65D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proofErr w:type="gramStart"/>
      <w:r w:rsidRPr="008E65DC">
        <w:rPr>
          <w:rFonts w:ascii="Roboto" w:hAnsi="Roboto"/>
          <w:color w:val="333333"/>
          <w:sz w:val="26"/>
        </w:rPr>
        <w:t>Максимальный размер суммы расходов, с которой можно получить налоговый вычет на обучение ребенка (подопечного), увеличен с 50 тыс. руб. до 110 тыс. руб. Размер налогового вычета на свое обучение, медицинские, физкультурно-оздоровительные услуги, приобретение лекарств, по оплате прохождения независимой оценки своей квалификации, а также расходов по договорам негосударственного пенсионного обеспечения, добровольного пенсионного страхования, добровольного страхования жизни (если такие договоры заключаются на</w:t>
      </w:r>
      <w:proofErr w:type="gramEnd"/>
      <w:r w:rsidRPr="008E65DC">
        <w:rPr>
          <w:rFonts w:ascii="Roboto" w:hAnsi="Roboto"/>
          <w:color w:val="333333"/>
          <w:sz w:val="26"/>
        </w:rPr>
        <w:t xml:space="preserve"> срок не менее пяти лет), а также по уплате дополнительных страховых взносов на накопительную пенсию – со 120 до 150 тыс. руб. При этом расходы на дорогостоящее лечение принимаются к вычету без ограничений.</w:t>
      </w:r>
    </w:p>
    <w:p w:rsidR="008E65DC" w:rsidRPr="008E65DC" w:rsidRDefault="008E65DC" w:rsidP="008E65DC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8E65DC">
        <w:rPr>
          <w:rFonts w:ascii="Roboto" w:hAnsi="Roboto"/>
          <w:color w:val="333333"/>
          <w:sz w:val="26"/>
        </w:rPr>
        <w:t>Воспользоваться увеличением размера социальных налоговых вычетов налогоплательщики смогут по расходам, начиная с 01.01.2024.</w:t>
      </w:r>
    </w:p>
    <w:p w:rsidR="00CB51CB" w:rsidRPr="008E65DC" w:rsidRDefault="00CB51CB" w:rsidP="008E65DC">
      <w:pPr>
        <w:spacing w:after="0" w:line="240" w:lineRule="auto"/>
        <w:rPr>
          <w:sz w:val="24"/>
        </w:rPr>
      </w:pPr>
    </w:p>
    <w:sectPr w:rsidR="00CB51CB" w:rsidRPr="008E6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E65DC"/>
    <w:rsid w:val="008E65DC"/>
    <w:rsid w:val="00CB5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6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2024-07-03T21:30:00Z</dcterms:created>
  <dcterms:modified xsi:type="dcterms:W3CDTF">2024-07-03T21:30:00Z</dcterms:modified>
</cp:coreProperties>
</file>